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24F5"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61CC8D8A" w14:textId="77777777" w:rsidR="00FC5DFB" w:rsidRPr="00D708F0" w:rsidRDefault="00FC5DFB" w:rsidP="00FC5DFB">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w:t>
      </w:r>
      <w:r w:rsidR="00C0260D">
        <w:rPr>
          <w:rFonts w:asciiTheme="minorHAnsi" w:hAnsiTheme="minorHAnsi"/>
          <w:b/>
          <w:bCs/>
          <w:sz w:val="20"/>
          <w:szCs w:val="20"/>
        </w:rPr>
        <w:t xml:space="preserve">KUPNÍ </w:t>
      </w:r>
      <w:r w:rsidRPr="00D708F0">
        <w:rPr>
          <w:rFonts w:asciiTheme="minorHAnsi" w:hAnsiTheme="minorHAnsi"/>
          <w:b/>
          <w:bCs/>
          <w:sz w:val="20"/>
          <w:szCs w:val="20"/>
        </w:rPr>
        <w:t xml:space="preserve">SMLOUVY: </w:t>
      </w:r>
    </w:p>
    <w:p w14:paraId="7F5ECC5B" w14:textId="77777777" w:rsidR="00FC5DFB" w:rsidRPr="00D708F0" w:rsidRDefault="00820A8D" w:rsidP="003B7BBF">
      <w:pPr>
        <w:pStyle w:val="Nzev"/>
        <w:shd w:val="clear" w:color="auto" w:fill="FDE9D9" w:themeFill="accent6" w:themeFillTint="33"/>
        <w:jc w:val="both"/>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uzavřená dle ust.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7F9F7BE1" w14:textId="77777777" w:rsidR="003B7BBF" w:rsidRDefault="003B7BBF" w:rsidP="003B7BBF">
      <w:pPr>
        <w:tabs>
          <w:tab w:val="left" w:pos="2340"/>
        </w:tabs>
        <w:spacing w:before="0"/>
        <w:jc w:val="both"/>
        <w:rPr>
          <w:rFonts w:asciiTheme="minorHAnsi" w:hAnsiTheme="minorHAnsi" w:cstheme="minorHAnsi"/>
          <w:szCs w:val="22"/>
        </w:rPr>
      </w:pPr>
      <w:r>
        <w:rPr>
          <w:rFonts w:asciiTheme="minorHAnsi" w:hAnsiTheme="minorHAnsi" w:cstheme="minorHAnsi"/>
          <w:szCs w:val="22"/>
        </w:rPr>
        <w:t>Základní škola Písnická v Praze 12</w:t>
      </w:r>
    </w:p>
    <w:p w14:paraId="24605EA0" w14:textId="77777777" w:rsidR="003B7BBF" w:rsidRDefault="003B7BBF" w:rsidP="003B7BBF">
      <w:pPr>
        <w:tabs>
          <w:tab w:val="left" w:pos="2340"/>
        </w:tabs>
        <w:spacing w:before="0"/>
        <w:jc w:val="both"/>
        <w:rPr>
          <w:rFonts w:asciiTheme="minorHAnsi" w:hAnsiTheme="minorHAnsi" w:cstheme="minorHAnsi"/>
          <w:szCs w:val="22"/>
        </w:rPr>
      </w:pPr>
      <w:r>
        <w:rPr>
          <w:rFonts w:asciiTheme="minorHAnsi" w:hAnsiTheme="minorHAnsi" w:cstheme="minorHAnsi"/>
          <w:szCs w:val="22"/>
        </w:rPr>
        <w:t>IČO: 61388254</w:t>
      </w:r>
    </w:p>
    <w:p w14:paraId="201AEB94" w14:textId="77777777" w:rsidR="003B7BBF" w:rsidRDefault="003B7BBF" w:rsidP="003B7BBF">
      <w:pPr>
        <w:tabs>
          <w:tab w:val="left" w:pos="2340"/>
        </w:tabs>
        <w:spacing w:before="0"/>
        <w:jc w:val="both"/>
        <w:rPr>
          <w:rFonts w:asciiTheme="minorHAnsi" w:hAnsiTheme="minorHAnsi" w:cstheme="minorHAnsi"/>
          <w:szCs w:val="22"/>
        </w:rPr>
      </w:pPr>
      <w:r>
        <w:rPr>
          <w:rFonts w:asciiTheme="minorHAnsi" w:hAnsiTheme="minorHAnsi" w:cstheme="minorHAnsi"/>
          <w:szCs w:val="22"/>
        </w:rPr>
        <w:t>Sídlo:  Písnická 760/11, 142 00 Praha 4 – Kamýk</w:t>
      </w:r>
    </w:p>
    <w:p w14:paraId="43CC633C" w14:textId="77777777" w:rsidR="003B7BBF" w:rsidRDefault="003B7BBF" w:rsidP="003B7BBF">
      <w:pPr>
        <w:tabs>
          <w:tab w:val="left" w:pos="2340"/>
        </w:tabs>
        <w:spacing w:before="0"/>
        <w:jc w:val="both"/>
        <w:rPr>
          <w:rFonts w:asciiTheme="minorHAnsi" w:hAnsiTheme="minorHAnsi" w:cstheme="minorHAnsi"/>
          <w:szCs w:val="22"/>
        </w:rPr>
      </w:pPr>
      <w:r>
        <w:rPr>
          <w:rFonts w:asciiTheme="minorHAnsi" w:hAnsiTheme="minorHAnsi" w:cstheme="minorHAnsi"/>
          <w:szCs w:val="22"/>
        </w:rPr>
        <w:t xml:space="preserve">Osoba oprávněná jednat ve věcech smluvních:  </w:t>
      </w:r>
      <w:r>
        <w:rPr>
          <w:rFonts w:asciiTheme="minorHAnsi" w:hAnsiTheme="minorHAnsi" w:cstheme="minorHAnsi"/>
          <w:szCs w:val="22"/>
        </w:rPr>
        <w:tab/>
        <w:t>Mgr. Eva Čulíková</w:t>
      </w:r>
    </w:p>
    <w:p w14:paraId="1307BFCE" w14:textId="77777777" w:rsidR="003B7BBF" w:rsidRDefault="003B7BBF" w:rsidP="003B7BBF">
      <w:pPr>
        <w:tabs>
          <w:tab w:val="left" w:pos="2340"/>
        </w:tabs>
        <w:spacing w:before="0"/>
        <w:jc w:val="both"/>
        <w:rPr>
          <w:rFonts w:asciiTheme="minorHAnsi" w:hAnsiTheme="minorHAnsi" w:cstheme="minorHAnsi"/>
          <w:szCs w:val="22"/>
        </w:rPr>
      </w:pPr>
      <w:r>
        <w:rPr>
          <w:rFonts w:asciiTheme="minorHAnsi" w:hAnsiTheme="minorHAnsi" w:cstheme="minorHAnsi"/>
          <w:szCs w:val="22"/>
        </w:rPr>
        <w:t xml:space="preserve">Tel.: </w:t>
      </w:r>
    </w:p>
    <w:p w14:paraId="2B55EE7F" w14:textId="77777777" w:rsidR="003B7BBF" w:rsidRDefault="003B7BBF" w:rsidP="003B7BBF">
      <w:pPr>
        <w:tabs>
          <w:tab w:val="left" w:pos="2340"/>
        </w:tabs>
        <w:spacing w:before="0"/>
        <w:jc w:val="both"/>
        <w:rPr>
          <w:rFonts w:asciiTheme="minorHAnsi" w:hAnsiTheme="minorHAnsi" w:cstheme="minorHAnsi"/>
          <w:szCs w:val="22"/>
        </w:rPr>
      </w:pPr>
      <w:r>
        <w:rPr>
          <w:rFonts w:asciiTheme="minorHAnsi" w:hAnsiTheme="minorHAnsi" w:cstheme="minorHAnsi"/>
          <w:szCs w:val="22"/>
        </w:rPr>
        <w:t xml:space="preserve">e-mail: </w:t>
      </w:r>
    </w:p>
    <w:p w14:paraId="1AAB3B81" w14:textId="77777777" w:rsidR="003B7BBF" w:rsidRDefault="003B7BBF" w:rsidP="003B7BBF">
      <w:pPr>
        <w:tabs>
          <w:tab w:val="left" w:pos="2340"/>
        </w:tabs>
        <w:spacing w:before="0"/>
        <w:jc w:val="both"/>
        <w:rPr>
          <w:rFonts w:asciiTheme="minorHAnsi" w:hAnsiTheme="minorHAnsi" w:cs="Calibri"/>
        </w:rPr>
      </w:pPr>
      <w:r>
        <w:rPr>
          <w:rFonts w:asciiTheme="minorHAnsi" w:hAnsiTheme="minorHAnsi" w:cs="Calibri"/>
        </w:rPr>
        <w:t xml:space="preserve">bankovní spojení: </w:t>
      </w:r>
    </w:p>
    <w:p w14:paraId="361694A3" w14:textId="77777777" w:rsidR="003B7BBF" w:rsidRDefault="003B7BBF" w:rsidP="003B7BBF">
      <w:pPr>
        <w:tabs>
          <w:tab w:val="left" w:pos="2340"/>
        </w:tabs>
        <w:spacing w:before="0"/>
        <w:jc w:val="both"/>
        <w:rPr>
          <w:rFonts w:asciiTheme="minorHAnsi" w:hAnsiTheme="minorHAnsi" w:cstheme="minorHAnsi"/>
          <w:sz w:val="20"/>
        </w:rPr>
      </w:pPr>
      <w:r>
        <w:rPr>
          <w:rFonts w:asciiTheme="minorHAnsi" w:hAnsiTheme="minorHAnsi" w:cstheme="minorHAnsi"/>
          <w:sz w:val="20"/>
        </w:rPr>
        <w:t xml:space="preserve"> (dále jen </w:t>
      </w:r>
      <w:r>
        <w:rPr>
          <w:rFonts w:asciiTheme="minorHAnsi" w:hAnsiTheme="minorHAnsi" w:cstheme="minorHAnsi"/>
          <w:b/>
          <w:sz w:val="20"/>
        </w:rPr>
        <w:t>„Kupující“</w:t>
      </w:r>
      <w:r>
        <w:rPr>
          <w:rFonts w:asciiTheme="minorHAnsi" w:hAnsiTheme="minorHAnsi" w:cstheme="minorHAnsi"/>
          <w:sz w:val="20"/>
        </w:rPr>
        <w:t>)</w:t>
      </w:r>
    </w:p>
    <w:p w14:paraId="6A829367"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14:paraId="1DDDF524" w14:textId="77777777" w:rsidTr="00FC5DFB">
        <w:trPr>
          <w:trHeight w:hRule="exact" w:val="624"/>
        </w:trPr>
        <w:tc>
          <w:tcPr>
            <w:tcW w:w="3652" w:type="dxa"/>
            <w:shd w:val="clear" w:color="auto" w:fill="FDE9D9" w:themeFill="accent6" w:themeFillTint="33"/>
          </w:tcPr>
          <w:p w14:paraId="2E5DB98D" w14:textId="77777777" w:rsidR="00DA03CA" w:rsidRPr="002D187D" w:rsidRDefault="00CD04BD"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Prodávající</w:t>
            </w:r>
            <w:r w:rsidR="00DA03CA" w:rsidRPr="002D187D">
              <w:rPr>
                <w:rFonts w:asciiTheme="minorHAnsi" w:eastAsia="Calibri" w:hAnsiTheme="minorHAnsi" w:cs="Arial"/>
                <w:b/>
                <w:sz w:val="20"/>
                <w:highlight w:val="green"/>
                <w:lang w:eastAsia="en-US"/>
              </w:rPr>
              <w:t>:</w:t>
            </w:r>
          </w:p>
        </w:tc>
        <w:tc>
          <w:tcPr>
            <w:tcW w:w="6038" w:type="dxa"/>
            <w:shd w:val="clear" w:color="auto" w:fill="FDE9D9" w:themeFill="accent6" w:themeFillTint="33"/>
          </w:tcPr>
          <w:p w14:paraId="5CA4159C" w14:textId="77777777" w:rsidR="00DA03CA" w:rsidRPr="002D187D" w:rsidRDefault="00DA03CA" w:rsidP="00034959">
            <w:pPr>
              <w:spacing w:before="0"/>
              <w:rPr>
                <w:rFonts w:asciiTheme="minorHAnsi" w:eastAsia="Calibri" w:hAnsiTheme="minorHAnsi" w:cs="Arial"/>
                <w:b/>
                <w:sz w:val="20"/>
                <w:highlight w:val="green"/>
                <w:lang w:eastAsia="en-US"/>
              </w:rPr>
            </w:pPr>
          </w:p>
        </w:tc>
      </w:tr>
      <w:tr w:rsidR="00DA03CA" w:rsidRPr="00D708F0" w14:paraId="37ED0281" w14:textId="77777777" w:rsidTr="00FC5DFB">
        <w:trPr>
          <w:trHeight w:hRule="exact" w:val="624"/>
        </w:trPr>
        <w:tc>
          <w:tcPr>
            <w:tcW w:w="3652" w:type="dxa"/>
            <w:shd w:val="clear" w:color="auto" w:fill="FDE9D9" w:themeFill="accent6" w:themeFillTint="33"/>
          </w:tcPr>
          <w:p w14:paraId="67121608"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Oprávněný zástupce:</w:t>
            </w:r>
            <w:r w:rsidRPr="002D187D">
              <w:rPr>
                <w:rFonts w:asciiTheme="minorHAnsi" w:eastAsia="Calibri" w:hAnsiTheme="minorHAnsi" w:cs="Arial"/>
                <w:b/>
                <w:bCs/>
                <w:sz w:val="20"/>
                <w:highlight w:val="green"/>
                <w:lang w:eastAsia="en-US"/>
              </w:rPr>
              <w:tab/>
            </w:r>
          </w:p>
        </w:tc>
        <w:tc>
          <w:tcPr>
            <w:tcW w:w="6038" w:type="dxa"/>
            <w:shd w:val="clear" w:color="auto" w:fill="FDE9D9" w:themeFill="accent6" w:themeFillTint="33"/>
          </w:tcPr>
          <w:p w14:paraId="3BE41456"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359F9CDD" w14:textId="77777777" w:rsidTr="00FC5DFB">
        <w:trPr>
          <w:trHeight w:hRule="exact" w:val="624"/>
        </w:trPr>
        <w:tc>
          <w:tcPr>
            <w:tcW w:w="3652" w:type="dxa"/>
            <w:shd w:val="clear" w:color="auto" w:fill="FDE9D9" w:themeFill="accent6" w:themeFillTint="33"/>
          </w:tcPr>
          <w:p w14:paraId="1A85F1D9" w14:textId="77777777" w:rsidR="00DA03CA" w:rsidRPr="002D187D" w:rsidRDefault="00DA03CA"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 xml:space="preserve">Zapsaný: </w:t>
            </w:r>
          </w:p>
        </w:tc>
        <w:tc>
          <w:tcPr>
            <w:tcW w:w="6038" w:type="dxa"/>
            <w:shd w:val="clear" w:color="auto" w:fill="FDE9D9" w:themeFill="accent6" w:themeFillTint="33"/>
          </w:tcPr>
          <w:p w14:paraId="1F9BC349"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214C763C" w14:textId="77777777" w:rsidTr="00FC5DFB">
        <w:trPr>
          <w:trHeight w:hRule="exact" w:val="624"/>
        </w:trPr>
        <w:tc>
          <w:tcPr>
            <w:tcW w:w="3652" w:type="dxa"/>
            <w:shd w:val="clear" w:color="auto" w:fill="FDE9D9" w:themeFill="accent6" w:themeFillTint="33"/>
          </w:tcPr>
          <w:p w14:paraId="47519FDA"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Právní forma:</w:t>
            </w:r>
          </w:p>
        </w:tc>
        <w:tc>
          <w:tcPr>
            <w:tcW w:w="6038" w:type="dxa"/>
            <w:shd w:val="clear" w:color="auto" w:fill="FDE9D9" w:themeFill="accent6" w:themeFillTint="33"/>
          </w:tcPr>
          <w:p w14:paraId="216E58AC"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677380F6" w14:textId="77777777" w:rsidTr="00FC5DFB">
        <w:trPr>
          <w:trHeight w:hRule="exact" w:val="624"/>
        </w:trPr>
        <w:tc>
          <w:tcPr>
            <w:tcW w:w="3652" w:type="dxa"/>
            <w:shd w:val="clear" w:color="auto" w:fill="FDE9D9" w:themeFill="accent6" w:themeFillTint="33"/>
          </w:tcPr>
          <w:p w14:paraId="0D6094AC"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IČ/DIČ:</w:t>
            </w:r>
            <w:r w:rsidRPr="002D187D">
              <w:rPr>
                <w:rFonts w:asciiTheme="minorHAnsi" w:eastAsia="Calibri" w:hAnsiTheme="minorHAnsi" w:cs="Arial"/>
                <w:bCs/>
                <w:sz w:val="20"/>
                <w:highlight w:val="green"/>
                <w:lang w:eastAsia="en-US"/>
              </w:rPr>
              <w:tab/>
            </w:r>
          </w:p>
        </w:tc>
        <w:tc>
          <w:tcPr>
            <w:tcW w:w="6038" w:type="dxa"/>
            <w:shd w:val="clear" w:color="auto" w:fill="FDE9D9" w:themeFill="accent6" w:themeFillTint="33"/>
          </w:tcPr>
          <w:p w14:paraId="4D3438CA" w14:textId="77777777" w:rsidR="003A3E13" w:rsidRPr="002D187D" w:rsidRDefault="003A3E13" w:rsidP="00034959">
            <w:pPr>
              <w:spacing w:before="0"/>
              <w:rPr>
                <w:rFonts w:asciiTheme="minorHAnsi" w:eastAsia="Calibri" w:hAnsiTheme="minorHAnsi" w:cs="Arial"/>
                <w:sz w:val="20"/>
                <w:highlight w:val="green"/>
                <w:lang w:eastAsia="en-US"/>
              </w:rPr>
            </w:pPr>
          </w:p>
        </w:tc>
      </w:tr>
      <w:tr w:rsidR="00DA03CA" w:rsidRPr="00D708F0" w14:paraId="2D4ED213" w14:textId="77777777" w:rsidTr="00FC5DFB">
        <w:trPr>
          <w:trHeight w:hRule="exact" w:val="624"/>
        </w:trPr>
        <w:tc>
          <w:tcPr>
            <w:tcW w:w="3652" w:type="dxa"/>
            <w:shd w:val="clear" w:color="auto" w:fill="FDE9D9" w:themeFill="accent6" w:themeFillTint="33"/>
          </w:tcPr>
          <w:p w14:paraId="55274691"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Sídlo podnikání:</w:t>
            </w:r>
          </w:p>
        </w:tc>
        <w:tc>
          <w:tcPr>
            <w:tcW w:w="6038" w:type="dxa"/>
            <w:shd w:val="clear" w:color="auto" w:fill="FDE9D9" w:themeFill="accent6" w:themeFillTint="33"/>
          </w:tcPr>
          <w:p w14:paraId="5ECB036A"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53A95C16" w14:textId="77777777" w:rsidTr="00FC5DFB">
        <w:trPr>
          <w:trHeight w:hRule="exact" w:val="624"/>
        </w:trPr>
        <w:tc>
          <w:tcPr>
            <w:tcW w:w="3652" w:type="dxa"/>
            <w:shd w:val="clear" w:color="auto" w:fill="FDE9D9" w:themeFill="accent6" w:themeFillTint="33"/>
          </w:tcPr>
          <w:p w14:paraId="43DDF134" w14:textId="77777777"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 xml:space="preserve">osoba oprávněná jednat </w:t>
            </w:r>
          </w:p>
          <w:p w14:paraId="347B2A9D"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Cs/>
                <w:sz w:val="20"/>
                <w:highlight w:val="green"/>
                <w:lang w:eastAsia="en-US"/>
              </w:rPr>
              <w:t xml:space="preserve">ve věcech smluvních: </w:t>
            </w:r>
          </w:p>
        </w:tc>
        <w:tc>
          <w:tcPr>
            <w:tcW w:w="6038" w:type="dxa"/>
            <w:shd w:val="clear" w:color="auto" w:fill="FDE9D9" w:themeFill="accent6" w:themeFillTint="33"/>
          </w:tcPr>
          <w:p w14:paraId="741E90E3" w14:textId="77777777"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14:paraId="32A252CC" w14:textId="77777777" w:rsidTr="00C0260D">
        <w:trPr>
          <w:trHeight w:hRule="exact" w:val="554"/>
        </w:trPr>
        <w:tc>
          <w:tcPr>
            <w:tcW w:w="3652" w:type="dxa"/>
            <w:shd w:val="clear" w:color="auto" w:fill="FDE9D9" w:themeFill="accent6" w:themeFillTint="33"/>
          </w:tcPr>
          <w:p w14:paraId="233E8924" w14:textId="77777777"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kontaktní údaje: telefon:</w:t>
            </w:r>
          </w:p>
        </w:tc>
        <w:tc>
          <w:tcPr>
            <w:tcW w:w="6038" w:type="dxa"/>
            <w:shd w:val="clear" w:color="auto" w:fill="FDE9D9" w:themeFill="accent6" w:themeFillTint="33"/>
          </w:tcPr>
          <w:p w14:paraId="311FF90E" w14:textId="77777777"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 e-mail: </w:t>
            </w:r>
          </w:p>
        </w:tc>
      </w:tr>
      <w:tr w:rsidR="00DA03CA" w:rsidRPr="00D708F0" w14:paraId="56D1120C" w14:textId="77777777" w:rsidTr="00FC5DFB">
        <w:trPr>
          <w:trHeight w:hRule="exact" w:val="573"/>
        </w:trPr>
        <w:tc>
          <w:tcPr>
            <w:tcW w:w="3652" w:type="dxa"/>
            <w:shd w:val="clear" w:color="auto" w:fill="FDE9D9" w:themeFill="accent6" w:themeFillTint="33"/>
          </w:tcPr>
          <w:p w14:paraId="184F253E" w14:textId="77777777"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osoba oprávněná jednat ve věcech technických:</w:t>
            </w:r>
          </w:p>
        </w:tc>
        <w:tc>
          <w:tcPr>
            <w:tcW w:w="6038" w:type="dxa"/>
            <w:shd w:val="clear" w:color="auto" w:fill="FDE9D9" w:themeFill="accent6" w:themeFillTint="33"/>
          </w:tcPr>
          <w:p w14:paraId="2F5479CA" w14:textId="77777777"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14:paraId="576512D5" w14:textId="77777777" w:rsidTr="00C0260D">
        <w:trPr>
          <w:trHeight w:hRule="exact" w:val="557"/>
        </w:trPr>
        <w:tc>
          <w:tcPr>
            <w:tcW w:w="3652" w:type="dxa"/>
            <w:shd w:val="clear" w:color="auto" w:fill="FDE9D9" w:themeFill="accent6" w:themeFillTint="33"/>
          </w:tcPr>
          <w:p w14:paraId="2DAE4421" w14:textId="77777777"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kontaktní údaje: telefon: </w:t>
            </w:r>
          </w:p>
        </w:tc>
        <w:tc>
          <w:tcPr>
            <w:tcW w:w="6038" w:type="dxa"/>
            <w:shd w:val="clear" w:color="auto" w:fill="FDE9D9" w:themeFill="accent6" w:themeFillTint="33"/>
          </w:tcPr>
          <w:p w14:paraId="117883CD" w14:textId="77777777"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e-mail:</w:t>
            </w:r>
          </w:p>
        </w:tc>
      </w:tr>
      <w:tr w:rsidR="00C01F5B" w:rsidRPr="00D708F0" w14:paraId="02EF8D56" w14:textId="77777777" w:rsidTr="00C0260D">
        <w:trPr>
          <w:trHeight w:hRule="exact" w:val="557"/>
        </w:trPr>
        <w:tc>
          <w:tcPr>
            <w:tcW w:w="3652" w:type="dxa"/>
            <w:shd w:val="clear" w:color="auto" w:fill="FDE9D9" w:themeFill="accent6" w:themeFillTint="33"/>
          </w:tcPr>
          <w:p w14:paraId="5B905A88" w14:textId="77777777" w:rsidR="00C01F5B" w:rsidRPr="002D187D" w:rsidRDefault="00C01F5B"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bankovní spojení:</w:t>
            </w:r>
          </w:p>
        </w:tc>
        <w:tc>
          <w:tcPr>
            <w:tcW w:w="6038" w:type="dxa"/>
            <w:shd w:val="clear" w:color="auto" w:fill="FDE9D9" w:themeFill="accent6" w:themeFillTint="33"/>
          </w:tcPr>
          <w:p w14:paraId="4BEDF57D" w14:textId="77777777" w:rsidR="00C01F5B" w:rsidRPr="002D187D" w:rsidRDefault="00C01F5B" w:rsidP="00034959">
            <w:pPr>
              <w:tabs>
                <w:tab w:val="left" w:pos="3544"/>
              </w:tabs>
              <w:spacing w:before="0"/>
              <w:rPr>
                <w:rFonts w:asciiTheme="minorHAnsi" w:eastAsia="Calibri" w:hAnsiTheme="minorHAnsi" w:cs="Arial"/>
                <w:sz w:val="20"/>
                <w:highlight w:val="green"/>
                <w:lang w:eastAsia="en-US"/>
              </w:rPr>
            </w:pPr>
            <w:proofErr w:type="spellStart"/>
            <w:r w:rsidRPr="002D187D">
              <w:rPr>
                <w:rFonts w:asciiTheme="minorHAnsi" w:eastAsia="Calibri" w:hAnsiTheme="minorHAnsi" w:cs="Arial"/>
                <w:sz w:val="20"/>
                <w:highlight w:val="green"/>
                <w:lang w:eastAsia="en-US"/>
              </w:rPr>
              <w:t>č.ú</w:t>
            </w:r>
            <w:proofErr w:type="spellEnd"/>
            <w:r w:rsidRPr="002D187D">
              <w:rPr>
                <w:rFonts w:asciiTheme="minorHAnsi" w:eastAsia="Calibri" w:hAnsiTheme="minorHAnsi" w:cs="Arial"/>
                <w:sz w:val="20"/>
                <w:highlight w:val="green"/>
                <w:lang w:eastAsia="en-US"/>
              </w:rPr>
              <w:t>.:</w:t>
            </w:r>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083F9B9" w14:textId="77777777" w:rsidR="00B20682" w:rsidRDefault="00B20682" w:rsidP="00DC358C">
      <w:pPr>
        <w:ind w:left="720"/>
        <w:rPr>
          <w:rFonts w:asciiTheme="minorHAnsi" w:hAnsiTheme="minorHAnsi" w:cs="Calibri"/>
          <w:b/>
          <w:sz w:val="20"/>
        </w:rPr>
      </w:pPr>
    </w:p>
    <w:p w14:paraId="42101456" w14:textId="77777777" w:rsidR="004C1DDC" w:rsidRDefault="004C1DDC"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0FC9E4B3" w14:textId="4211F445" w:rsidR="003B7BBF" w:rsidRDefault="003B7BBF" w:rsidP="003B7BBF">
      <w:pPr>
        <w:pStyle w:val="Odstavecseseznamem"/>
        <w:numPr>
          <w:ilvl w:val="0"/>
          <w:numId w:val="12"/>
        </w:numPr>
        <w:ind w:left="567" w:hanging="567"/>
        <w:jc w:val="both"/>
        <w:rPr>
          <w:rFonts w:asciiTheme="minorHAnsi" w:hAnsiTheme="minorHAnsi" w:cstheme="minorHAnsi"/>
          <w:sz w:val="20"/>
        </w:rPr>
      </w:pPr>
      <w:r>
        <w:rPr>
          <w:rFonts w:asciiTheme="minorHAnsi" w:hAnsiTheme="minorHAnsi" w:cstheme="minorHAnsi"/>
          <w:sz w:val="20"/>
        </w:rPr>
        <w:t xml:space="preserve">Tato Smlouva se uzavírá na základě výsledku výběrového řízení na veřejnou zakázku malého rozsahu vedenou pod názvem „Modernizace zařízení a vybavení“ (dále jen „veřejná zakázka“), pro část </w:t>
      </w:r>
      <w:r w:rsidR="00780DEF">
        <w:rPr>
          <w:rFonts w:asciiTheme="minorHAnsi" w:hAnsiTheme="minorHAnsi" w:cstheme="minorHAnsi"/>
          <w:sz w:val="20"/>
        </w:rPr>
        <w:t>1</w:t>
      </w:r>
      <w:r>
        <w:rPr>
          <w:rFonts w:asciiTheme="minorHAnsi" w:hAnsiTheme="minorHAnsi" w:cstheme="minorHAnsi"/>
          <w:sz w:val="20"/>
        </w:rPr>
        <w:t xml:space="preserve"> - ICT. </w:t>
      </w:r>
    </w:p>
    <w:p w14:paraId="69348CF4" w14:textId="08241E0E"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w:t>
      </w:r>
      <w:r w:rsidR="00311565">
        <w:rPr>
          <w:rFonts w:asciiTheme="minorHAnsi" w:hAnsiTheme="minorHAnsi" w:cstheme="minorHAnsi"/>
          <w:bCs/>
          <w:sz w:val="20"/>
        </w:rPr>
        <w:t>prodávajícího</w:t>
      </w:r>
      <w:r w:rsidR="00952A64">
        <w:rPr>
          <w:rFonts w:asciiTheme="minorHAnsi" w:hAnsiTheme="minorHAnsi" w:cstheme="minorHAnsi"/>
          <w:bCs/>
          <w:sz w:val="20"/>
        </w:rPr>
        <w:t xml:space="preserve">)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31ED4FEC" w:rsidR="003001B6" w:rsidRPr="002D187D" w:rsidRDefault="00CD65D5" w:rsidP="002D187D">
      <w:pPr>
        <w:pStyle w:val="Odstavecseseznamem"/>
        <w:numPr>
          <w:ilvl w:val="0"/>
          <w:numId w:val="12"/>
        </w:numPr>
        <w:ind w:left="567" w:hanging="567"/>
        <w:jc w:val="both"/>
        <w:rPr>
          <w:rFonts w:asciiTheme="minorHAnsi" w:hAnsiTheme="minorHAnsi" w:cstheme="minorHAnsi"/>
          <w:sz w:val="20"/>
        </w:rPr>
      </w:pPr>
      <w:r w:rsidRPr="002D187D">
        <w:rPr>
          <w:rFonts w:asciiTheme="minorHAnsi" w:hAnsiTheme="minorHAnsi" w:cstheme="minorHAnsi"/>
          <w:sz w:val="20"/>
        </w:rPr>
        <w:t xml:space="preserve">Předmětem této veřejné zakázky je </w:t>
      </w:r>
      <w:r w:rsidR="00EF4C69" w:rsidRPr="002D187D">
        <w:rPr>
          <w:rFonts w:asciiTheme="minorHAnsi" w:hAnsiTheme="minorHAnsi" w:cstheme="minorHAnsi"/>
          <w:sz w:val="20"/>
        </w:rPr>
        <w:t xml:space="preserve">dodávka </w:t>
      </w:r>
      <w:r w:rsidR="003B7BBF">
        <w:rPr>
          <w:rFonts w:asciiTheme="minorHAnsi" w:hAnsiTheme="minorHAnsi" w:cstheme="minorHAnsi"/>
          <w:sz w:val="20"/>
        </w:rPr>
        <w:t>ICT do ZŠ Písnická 760/11, 142 00 Praha 4 – Kamýk</w:t>
      </w:r>
      <w:r w:rsidR="003001B6" w:rsidRPr="002D187D">
        <w:rPr>
          <w:rFonts w:asciiTheme="minorHAnsi" w:hAnsiTheme="minorHAnsi" w:cstheme="minorHAnsi"/>
          <w:sz w:val="20"/>
        </w:rPr>
        <w:t>.</w:t>
      </w:r>
    </w:p>
    <w:p w14:paraId="2EEC954B" w14:textId="5C01AE98"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Předmět smlouvy bude dodán nový</w:t>
      </w:r>
      <w:r w:rsidR="003B7BBF">
        <w:rPr>
          <w:rFonts w:asciiTheme="minorHAnsi" w:hAnsiTheme="minorHAnsi" w:cstheme="minorHAnsi"/>
          <w:sz w:val="20"/>
        </w:rPr>
        <w:t xml:space="preserve"> a</w:t>
      </w:r>
      <w:r>
        <w:rPr>
          <w:rFonts w:asciiTheme="minorHAnsi" w:hAnsiTheme="minorHAnsi" w:cstheme="minorHAnsi"/>
          <w:sz w:val="20"/>
        </w:rPr>
        <w:t xml:space="preserve"> 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3369B0C0" w14:textId="77777777" w:rsidR="00290081" w:rsidRP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78AE8BFD"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Zajištění technické podpory </w:t>
      </w:r>
      <w:r w:rsidR="003001B6">
        <w:rPr>
          <w:rFonts w:asciiTheme="minorHAnsi" w:hAnsiTheme="minorHAnsi" w:cstheme="minorHAnsi"/>
          <w:sz w:val="20"/>
        </w:rPr>
        <w:t>HW a SW</w:t>
      </w:r>
      <w:r>
        <w:rPr>
          <w:rFonts w:asciiTheme="minorHAnsi" w:hAnsiTheme="minorHAnsi" w:cstheme="minorHAnsi"/>
          <w:sz w:val="20"/>
        </w:rPr>
        <w:t xml:space="preserve"> po dobu záruky zdarma.</w:t>
      </w:r>
    </w:p>
    <w:p w14:paraId="5B3D6BBC"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Zaškolení personálu školy </w:t>
      </w:r>
      <w:r w:rsidR="005E0047">
        <w:rPr>
          <w:rFonts w:asciiTheme="minorHAnsi" w:hAnsiTheme="minorHAnsi" w:cstheme="minorHAnsi"/>
          <w:sz w:val="20"/>
        </w:rPr>
        <w:t xml:space="preserve">na obsluhu předmětu dodávky, </w:t>
      </w:r>
      <w:r>
        <w:rPr>
          <w:rFonts w:asciiTheme="minorHAnsi" w:hAnsiTheme="minorHAnsi" w:cstheme="minorHAnsi"/>
          <w:sz w:val="20"/>
        </w:rPr>
        <w:t>školení</w:t>
      </w:r>
      <w:r w:rsidR="005E0047">
        <w:rPr>
          <w:rFonts w:asciiTheme="minorHAnsi" w:hAnsiTheme="minorHAnsi" w:cstheme="minorHAnsi"/>
          <w:sz w:val="20"/>
        </w:rPr>
        <w:t xml:space="preserve"> proběhne</w:t>
      </w:r>
      <w:r>
        <w:rPr>
          <w:rFonts w:asciiTheme="minorHAnsi" w:hAnsiTheme="minorHAnsi" w:cstheme="minorHAnsi"/>
          <w:sz w:val="20"/>
        </w:rPr>
        <w:t xml:space="preserve"> v českém jazyce pro uživatele předmětu </w:t>
      </w:r>
      <w:r w:rsidR="001C5344">
        <w:rPr>
          <w:rFonts w:asciiTheme="minorHAnsi" w:hAnsiTheme="minorHAnsi" w:cstheme="minorHAnsi"/>
          <w:sz w:val="20"/>
        </w:rPr>
        <w:t>Smlouvy</w:t>
      </w:r>
      <w:r>
        <w:rPr>
          <w:rFonts w:asciiTheme="minorHAnsi" w:hAnsiTheme="minorHAnsi" w:cstheme="minorHAnsi"/>
          <w:sz w:val="20"/>
        </w:rPr>
        <w:t>.</w:t>
      </w:r>
    </w:p>
    <w:p w14:paraId="5E5AEAD4" w14:textId="0E8E95C3"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3B7BBF">
        <w:rPr>
          <w:rFonts w:asciiTheme="minorHAnsi" w:hAnsiTheme="minorHAnsi" w:cstheme="minorHAnsi"/>
          <w:sz w:val="20"/>
        </w:rPr>
        <w:t xml:space="preserve">, resp. do jeho části </w:t>
      </w:r>
      <w:r w:rsidR="00780DEF">
        <w:rPr>
          <w:rFonts w:asciiTheme="minorHAnsi" w:hAnsiTheme="minorHAnsi" w:cstheme="minorHAnsi"/>
          <w:sz w:val="20"/>
        </w:rPr>
        <w:t>1</w:t>
      </w:r>
      <w:r w:rsidR="003B7BBF">
        <w:rPr>
          <w:rFonts w:asciiTheme="minorHAnsi" w:hAnsiTheme="minorHAnsi" w:cstheme="minorHAnsi"/>
          <w:sz w:val="20"/>
        </w:rPr>
        <w:t xml:space="preserve"> – ICT.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17312A29"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w:t>
      </w:r>
      <w:proofErr w:type="gramStart"/>
      <w:r>
        <w:rPr>
          <w:rFonts w:asciiTheme="minorHAnsi" w:hAnsiTheme="minorHAnsi" w:cstheme="minorHAnsi"/>
          <w:sz w:val="20"/>
        </w:rPr>
        <w:t xml:space="preserve">dodávky: </w:t>
      </w:r>
      <w:r w:rsidR="00780DEF">
        <w:rPr>
          <w:rFonts w:asciiTheme="minorHAnsi" w:hAnsiTheme="minorHAnsi" w:cstheme="minorHAnsi"/>
          <w:sz w:val="20"/>
        </w:rPr>
        <w:t xml:space="preserve"> ihned</w:t>
      </w:r>
      <w:proofErr w:type="gramEnd"/>
      <w:r w:rsidR="00780DEF">
        <w:rPr>
          <w:rFonts w:asciiTheme="minorHAnsi" w:hAnsiTheme="minorHAnsi" w:cstheme="minorHAnsi"/>
          <w:sz w:val="20"/>
        </w:rPr>
        <w:t xml:space="preserve"> po účinnosti smlouvy</w:t>
      </w:r>
    </w:p>
    <w:p w14:paraId="4FBCE8D5" w14:textId="492041F6"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w:t>
      </w:r>
      <w:proofErr w:type="gramStart"/>
      <w:r>
        <w:rPr>
          <w:rFonts w:asciiTheme="minorHAnsi" w:hAnsiTheme="minorHAnsi" w:cstheme="minorHAnsi"/>
          <w:sz w:val="20"/>
        </w:rPr>
        <w:t xml:space="preserve">dodávky: </w:t>
      </w:r>
      <w:r w:rsidR="009C09D0">
        <w:rPr>
          <w:rFonts w:asciiTheme="minorHAnsi" w:hAnsiTheme="minorHAnsi" w:cstheme="minorHAnsi"/>
          <w:sz w:val="20"/>
        </w:rPr>
        <w:t xml:space="preserve"> do</w:t>
      </w:r>
      <w:proofErr w:type="gramEnd"/>
      <w:r w:rsidR="009C09D0">
        <w:rPr>
          <w:rFonts w:asciiTheme="minorHAnsi" w:hAnsiTheme="minorHAnsi" w:cstheme="minorHAnsi"/>
          <w:sz w:val="20"/>
        </w:rPr>
        <w:t xml:space="preserve"> 31. 8. 2022</w:t>
      </w:r>
    </w:p>
    <w:p w14:paraId="3637E467" w14:textId="22EF41D2"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lastRenderedPageBreak/>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916094" w14:paraId="77DD42F8" w14:textId="77777777" w:rsidTr="000E3967">
        <w:tc>
          <w:tcPr>
            <w:tcW w:w="2126" w:type="dxa"/>
            <w:shd w:val="clear" w:color="auto" w:fill="FDE9D9" w:themeFill="accent6" w:themeFillTint="33"/>
          </w:tcPr>
          <w:p w14:paraId="12BF9567" w14:textId="77777777"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bez DPH</w:t>
            </w:r>
          </w:p>
        </w:tc>
        <w:tc>
          <w:tcPr>
            <w:tcW w:w="4111" w:type="dxa"/>
            <w:shd w:val="clear" w:color="auto" w:fill="FDE9D9" w:themeFill="accent6" w:themeFillTint="33"/>
          </w:tcPr>
          <w:p w14:paraId="5AD35128"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14:paraId="437A87C9" w14:textId="77777777" w:rsidTr="000E3967">
        <w:tc>
          <w:tcPr>
            <w:tcW w:w="2126" w:type="dxa"/>
            <w:shd w:val="clear" w:color="auto" w:fill="FDE9D9" w:themeFill="accent6" w:themeFillTint="33"/>
          </w:tcPr>
          <w:p w14:paraId="7E5F2352" w14:textId="77777777" w:rsidR="000E3967" w:rsidRPr="00134F33" w:rsidRDefault="000E3967" w:rsidP="000E3967">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Částka DPH</w:t>
            </w:r>
          </w:p>
        </w:tc>
        <w:tc>
          <w:tcPr>
            <w:tcW w:w="4111" w:type="dxa"/>
            <w:shd w:val="clear" w:color="auto" w:fill="FDE9D9" w:themeFill="accent6" w:themeFillTint="33"/>
          </w:tcPr>
          <w:p w14:paraId="22DAEB1D"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14:paraId="151CF886" w14:textId="77777777" w:rsidTr="000E3967">
        <w:tc>
          <w:tcPr>
            <w:tcW w:w="2126" w:type="dxa"/>
            <w:shd w:val="clear" w:color="auto" w:fill="FDE9D9" w:themeFill="accent6" w:themeFillTint="33"/>
          </w:tcPr>
          <w:p w14:paraId="4EB7F21A" w14:textId="77777777"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včetně DPH</w:t>
            </w:r>
          </w:p>
        </w:tc>
        <w:tc>
          <w:tcPr>
            <w:tcW w:w="4111" w:type="dxa"/>
            <w:shd w:val="clear" w:color="auto" w:fill="FDE9D9" w:themeFill="accent6" w:themeFillTint="33"/>
          </w:tcPr>
          <w:p w14:paraId="01CF9F40"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2763B28A"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w:t>
      </w:r>
      <w:r w:rsidR="002C7AE3">
        <w:rPr>
          <w:rFonts w:asciiTheme="minorHAnsi" w:hAnsiTheme="minorHAnsi" w:cstheme="minorHAnsi"/>
          <w:sz w:val="20"/>
        </w:rPr>
        <w:t>prodávajícího</w:t>
      </w:r>
      <w:r w:rsidR="005E0047" w:rsidRPr="005E0047">
        <w:rPr>
          <w:rFonts w:asciiTheme="minorHAnsi" w:hAnsiTheme="minorHAnsi" w:cstheme="minorHAnsi"/>
          <w:sz w:val="20"/>
        </w:rPr>
        <w:t xml:space="preserv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6DDA3BAA"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24EB5810" w14:textId="0272F9B3"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projektu </w:t>
      </w:r>
      <w:r w:rsidR="00780DEF" w:rsidRPr="00780DEF">
        <w:rPr>
          <w:rFonts w:asciiTheme="minorHAnsi" w:hAnsiTheme="minorHAnsi" w:cstheme="minorHAnsi"/>
          <w:sz w:val="20"/>
        </w:rPr>
        <w:t>CZ.07.4.67/0.0/0.0/19_073/0002214 Přírodovědná laboratoř</w:t>
      </w:r>
      <w:r w:rsidR="002D187D" w:rsidRPr="00780DEF">
        <w:rPr>
          <w:rFonts w:asciiTheme="minorHAnsi" w:hAnsiTheme="minorHAnsi" w:cstheme="minorHAnsi"/>
          <w:sz w:val="20"/>
        </w:rPr>
        <w:t xml:space="preserve"> </w:t>
      </w:r>
      <w:r w:rsidR="008D3378" w:rsidRPr="00780DEF">
        <w:rPr>
          <w:rFonts w:asciiTheme="minorHAnsi" w:hAnsiTheme="minorHAnsi" w:cstheme="minorHAnsi"/>
          <w:sz w:val="20"/>
        </w:rPr>
        <w:t>a název projektu</w:t>
      </w:r>
      <w:r w:rsidR="002C7AE3" w:rsidRPr="00780DEF">
        <w:rPr>
          <w:rFonts w:asciiTheme="minorHAnsi" w:hAnsiTheme="minorHAnsi" w:cstheme="minorHAnsi"/>
          <w:sz w:val="20"/>
        </w:rPr>
        <w:t xml:space="preserve"> </w:t>
      </w:r>
      <w:r w:rsidR="00780DEF" w:rsidRPr="00780DEF">
        <w:rPr>
          <w:rFonts w:asciiTheme="minorHAnsi" w:hAnsiTheme="minorHAnsi" w:cstheme="minorHAnsi"/>
          <w:sz w:val="20"/>
        </w:rPr>
        <w:t>Operační program Praha – pól růstu ČR.</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77777777"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1ABBAB28" w:rsidR="0049526E" w:rsidRPr="00EF4C69" w:rsidRDefault="00820DEA" w:rsidP="00577A23">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lastRenderedPageBreak/>
        <w:t>Není-li v příloze č. 2 této Smlouvy uvedeno jinak</w:t>
      </w:r>
      <w:r w:rsidR="003F2551" w:rsidRPr="00EF4C69">
        <w:rPr>
          <w:rFonts w:asciiTheme="minorHAnsi" w:hAnsiTheme="minorHAnsi" w:cstheme="minorHAnsi"/>
          <w:sz w:val="20"/>
        </w:rPr>
        <w:t xml:space="preserve">,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5B517EB0"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60760039" w14:textId="77777777"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r w:rsidR="001746F5" w:rsidRPr="002D187D">
        <w:rPr>
          <w:rFonts w:asciiTheme="minorHAnsi" w:hAnsiTheme="minorHAnsi" w:cstheme="minorHAnsi"/>
          <w:bCs/>
          <w:sz w:val="20"/>
          <w:highlight w:val="green"/>
        </w:rPr>
        <w:t>……………..@......................</w:t>
      </w:r>
      <w:r w:rsidR="001E7E61" w:rsidRPr="00916094">
        <w:rPr>
          <w:rFonts w:asciiTheme="minorHAnsi" w:hAnsiTheme="minorHAnsi" w:cstheme="minorHAnsi"/>
          <w:bCs/>
          <w:sz w:val="20"/>
        </w:rPr>
        <w:t xml:space="preserve"> </w:t>
      </w:r>
    </w:p>
    <w:p w14:paraId="29F38631"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7E6FC676" w14:textId="77777777"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77777777"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651D356A"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52B6C50A"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min. </w:t>
      </w:r>
      <w:r w:rsidR="002D187D">
        <w:rPr>
          <w:rFonts w:asciiTheme="minorHAnsi" w:hAnsiTheme="minorHAnsi" w:cstheme="minorHAnsi"/>
          <w:sz w:val="20"/>
        </w:rPr>
        <w:t>1</w:t>
      </w:r>
      <w:r w:rsidR="00E06E26">
        <w:rPr>
          <w:rFonts w:asciiTheme="minorHAnsi" w:hAnsiTheme="minorHAnsi" w:cstheme="minorHAnsi"/>
          <w:sz w:val="20"/>
        </w:rPr>
        <w:t>,5</w:t>
      </w:r>
      <w:r>
        <w:rPr>
          <w:rFonts w:asciiTheme="minorHAnsi" w:hAnsiTheme="minorHAnsi" w:cstheme="minorHAnsi"/>
          <w:sz w:val="20"/>
        </w:rPr>
        <w:t xml:space="preserve"> mil. Kč zahrnující též odpovědnost za škodu způsobenou porušením této Smlouvy v plném rozsahu. Toto pojištění je Prodávající povinen udržovat v platnosti po celou dobu trvání závazků z této Smlouvy. </w:t>
      </w:r>
    </w:p>
    <w:p w14:paraId="615AB182" w14:textId="77777777" w:rsidR="00290BFF" w:rsidRPr="00D46AD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3836E1DD" w14:textId="42A0E60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w:t>
      </w:r>
      <w:r w:rsidR="008F57A6">
        <w:rPr>
          <w:rFonts w:asciiTheme="minorHAnsi" w:hAnsiTheme="minorHAnsi" w:cstheme="minorHAnsi"/>
          <w:sz w:val="20"/>
        </w:rPr>
        <w:t>0</w:t>
      </w:r>
      <w:r w:rsidRPr="00D46ADF">
        <w:rPr>
          <w:rFonts w:asciiTheme="minorHAnsi" w:hAnsiTheme="minorHAnsi" w:cstheme="minorHAnsi"/>
          <w:sz w:val="20"/>
        </w:rPr>
        <w:t>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lastRenderedPageBreak/>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4BAED8C" w14:textId="66438C91" w:rsidR="000E6FCB"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 xml:space="preserve">(např: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všechny poddodavatele Prodávajícího.</w:t>
      </w:r>
    </w:p>
    <w:p w14:paraId="1B8B6427" w14:textId="32A10774" w:rsidR="00134F33" w:rsidRPr="00134F33" w:rsidRDefault="00134F33" w:rsidP="00134F33">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lastRenderedPageBreak/>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5B0D14A8"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134F33">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772B36C6" w14:textId="347CD91E"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w:t>
      </w:r>
      <w:r w:rsidR="008F57A6">
        <w:rPr>
          <w:rFonts w:ascii="Calibri" w:hAnsi="Calibri" w:cs="Calibri"/>
          <w:sz w:val="20"/>
        </w:rPr>
        <w:t>uveřejněn</w:t>
      </w:r>
      <w:r w:rsidRPr="00FF0296">
        <w:rPr>
          <w:rFonts w:ascii="Calibri" w:hAnsi="Calibri" w:cs="Calibri"/>
          <w:sz w:val="20"/>
        </w:rPr>
        <w:t xml:space="preserve">í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lastRenderedPageBreak/>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7C529D10"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00AF3DFC">
              <w:rPr>
                <w:rFonts w:asciiTheme="minorHAnsi" w:hAnsiTheme="minorHAnsi" w:cs="Calibri"/>
                <w:sz w:val="20"/>
              </w:rPr>
              <w:t> dne</w:t>
            </w:r>
          </w:p>
        </w:tc>
        <w:tc>
          <w:tcPr>
            <w:tcW w:w="4606" w:type="dxa"/>
            <w:shd w:val="clear" w:color="auto" w:fill="auto"/>
          </w:tcPr>
          <w:p w14:paraId="03020FF3"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1AE6E9BE" w14:textId="77777777" w:rsidTr="00AA4B4A">
        <w:tc>
          <w:tcPr>
            <w:tcW w:w="4605" w:type="dxa"/>
          </w:tcPr>
          <w:p w14:paraId="5659AC4F" w14:textId="77777777" w:rsidR="00A0778B" w:rsidRDefault="00A0778B" w:rsidP="00B831CF">
            <w:pPr>
              <w:pStyle w:val="Zkladntextodsazen2"/>
              <w:spacing w:before="0"/>
              <w:ind w:left="425"/>
              <w:rPr>
                <w:rFonts w:asciiTheme="minorHAnsi" w:hAnsiTheme="minorHAnsi" w:cs="Calibri"/>
                <w:b/>
                <w:sz w:val="20"/>
              </w:rPr>
            </w:pPr>
          </w:p>
          <w:p w14:paraId="49342A36" w14:textId="77777777" w:rsidR="00B831CF" w:rsidRDefault="00B831CF" w:rsidP="00B831CF">
            <w:pPr>
              <w:pStyle w:val="Zkladntextodsazen2"/>
              <w:spacing w:before="0"/>
              <w:ind w:left="425"/>
              <w:rPr>
                <w:rFonts w:asciiTheme="minorHAnsi" w:hAnsiTheme="minorHAnsi" w:cs="Calibri"/>
                <w:b/>
                <w:sz w:val="20"/>
              </w:rPr>
            </w:pPr>
          </w:p>
          <w:p w14:paraId="71442657" w14:textId="7CD78117" w:rsidR="00B831CF" w:rsidRDefault="00AF3DFC" w:rsidP="00B831CF">
            <w:pPr>
              <w:pStyle w:val="Zkladntextodsazen2"/>
              <w:spacing w:before="0"/>
              <w:ind w:left="425"/>
              <w:rPr>
                <w:rFonts w:asciiTheme="minorHAnsi" w:hAnsiTheme="minorHAnsi" w:cs="Calibri"/>
                <w:b/>
                <w:sz w:val="20"/>
              </w:rPr>
            </w:pPr>
            <w:r>
              <w:rPr>
                <w:rFonts w:asciiTheme="minorHAnsi" w:hAnsiTheme="minorHAnsi" w:cs="Calibri"/>
                <w:b/>
                <w:sz w:val="20"/>
              </w:rPr>
              <w:t>………………………………………………………………….</w:t>
            </w:r>
          </w:p>
          <w:p w14:paraId="5E7FD7CE"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2EB0DF5B" w14:textId="5C87FC99" w:rsidR="002D187D" w:rsidRPr="00041E1C" w:rsidRDefault="002D187D" w:rsidP="002D187D">
            <w:pPr>
              <w:pStyle w:val="Zkladntextodsazen2"/>
              <w:spacing w:before="0"/>
              <w:ind w:left="0"/>
              <w:jc w:val="center"/>
              <w:rPr>
                <w:rFonts w:asciiTheme="minorHAnsi" w:hAnsiTheme="minorHAnsi" w:cs="Calibri"/>
                <w:b/>
                <w:sz w:val="20"/>
              </w:rPr>
            </w:pPr>
            <w:r>
              <w:rPr>
                <w:rFonts w:asciiTheme="minorHAnsi" w:hAnsiTheme="minorHAnsi" w:cs="Calibri"/>
                <w:b/>
                <w:sz w:val="20"/>
              </w:rPr>
              <w:t>Mgr.</w:t>
            </w:r>
            <w:r w:rsidR="00AF3DFC">
              <w:rPr>
                <w:rFonts w:asciiTheme="minorHAnsi" w:hAnsiTheme="minorHAnsi" w:cs="Calibri"/>
                <w:b/>
                <w:sz w:val="20"/>
              </w:rPr>
              <w:t xml:space="preserve"> Eva Čulíková</w:t>
            </w:r>
            <w:r>
              <w:rPr>
                <w:rFonts w:asciiTheme="minorHAnsi" w:hAnsiTheme="minorHAnsi" w:cs="Calibri"/>
                <w:b/>
                <w:sz w:val="20"/>
              </w:rPr>
              <w:t xml:space="preserve"> </w:t>
            </w:r>
          </w:p>
          <w:p w14:paraId="5598F22A" w14:textId="77777777" w:rsidR="00DA03CA" w:rsidRDefault="00DA03CA" w:rsidP="002D187D">
            <w:pPr>
              <w:pStyle w:val="Zkladntextodsazen2"/>
              <w:spacing w:before="0"/>
              <w:ind w:left="0"/>
              <w:jc w:val="center"/>
              <w:rPr>
                <w:rFonts w:asciiTheme="minorHAnsi" w:hAnsiTheme="minorHAnsi" w:cs="Calibri"/>
                <w:sz w:val="20"/>
              </w:rPr>
            </w:pPr>
          </w:p>
          <w:p w14:paraId="678F1EAE" w14:textId="77777777" w:rsidR="00AF3DFC" w:rsidRDefault="00AF3DFC" w:rsidP="002D187D">
            <w:pPr>
              <w:pStyle w:val="Zkladntextodsazen2"/>
              <w:spacing w:before="0"/>
              <w:ind w:left="0"/>
              <w:jc w:val="center"/>
              <w:rPr>
                <w:rFonts w:asciiTheme="minorHAnsi" w:hAnsiTheme="minorHAnsi" w:cs="Calibri"/>
                <w:sz w:val="20"/>
              </w:rPr>
            </w:pPr>
          </w:p>
          <w:p w14:paraId="7898E8DA" w14:textId="77777777" w:rsidR="00AF3DFC" w:rsidRDefault="00AF3DFC" w:rsidP="002D187D">
            <w:pPr>
              <w:pStyle w:val="Zkladntextodsazen2"/>
              <w:spacing w:before="0"/>
              <w:ind w:left="0"/>
              <w:jc w:val="center"/>
              <w:rPr>
                <w:rFonts w:asciiTheme="minorHAnsi" w:hAnsiTheme="minorHAnsi" w:cs="Calibri"/>
                <w:sz w:val="20"/>
              </w:rPr>
            </w:pPr>
          </w:p>
          <w:p w14:paraId="78FCB145" w14:textId="66A55B31" w:rsidR="00AF3DFC" w:rsidRPr="00D708F0" w:rsidRDefault="00AF3DFC" w:rsidP="002D187D">
            <w:pPr>
              <w:pStyle w:val="Zkladntextodsazen2"/>
              <w:spacing w:before="0"/>
              <w:ind w:left="0"/>
              <w:jc w:val="center"/>
              <w:rPr>
                <w:rFonts w:asciiTheme="minorHAnsi" w:hAnsiTheme="minorHAnsi" w:cs="Calibri"/>
                <w:sz w:val="20"/>
              </w:rPr>
            </w:pPr>
          </w:p>
        </w:tc>
        <w:tc>
          <w:tcPr>
            <w:tcW w:w="4606" w:type="dxa"/>
            <w:shd w:val="clear" w:color="auto" w:fill="FDE9D9" w:themeFill="accent6" w:themeFillTint="33"/>
          </w:tcPr>
          <w:p w14:paraId="11299489" w14:textId="77777777" w:rsidR="00DA03CA" w:rsidRDefault="00DA03CA" w:rsidP="00B831CF">
            <w:pPr>
              <w:pStyle w:val="Zkladntextodsazen2"/>
              <w:spacing w:before="0"/>
              <w:ind w:left="425"/>
              <w:rPr>
                <w:rFonts w:asciiTheme="minorHAnsi" w:hAnsiTheme="minorHAnsi" w:cs="Calibri"/>
                <w:sz w:val="20"/>
              </w:rPr>
            </w:pPr>
          </w:p>
          <w:p w14:paraId="033417FA" w14:textId="77777777" w:rsidR="008D3378" w:rsidRDefault="008D3378" w:rsidP="00B831CF">
            <w:pPr>
              <w:pStyle w:val="Zkladntextodsazen2"/>
              <w:spacing w:before="0"/>
              <w:ind w:left="425"/>
              <w:rPr>
                <w:rFonts w:asciiTheme="minorHAnsi" w:hAnsiTheme="minorHAnsi" w:cs="Calibri"/>
                <w:sz w:val="20"/>
              </w:rPr>
            </w:pPr>
          </w:p>
          <w:p w14:paraId="00887AE3" w14:textId="55511264" w:rsidR="008D3378" w:rsidRDefault="00AF3DFC" w:rsidP="008D3378">
            <w:pPr>
              <w:pStyle w:val="Zkladntextodsazen2"/>
              <w:spacing w:before="0"/>
              <w:ind w:left="-33"/>
              <w:jc w:val="center"/>
              <w:rPr>
                <w:rFonts w:asciiTheme="minorHAnsi" w:hAnsiTheme="minorHAnsi" w:cs="Calibri"/>
                <w:sz w:val="20"/>
              </w:rPr>
            </w:pPr>
            <w:r>
              <w:rPr>
                <w:rFonts w:asciiTheme="minorHAnsi" w:hAnsiTheme="minorHAnsi" w:cs="Calibri"/>
                <w:sz w:val="20"/>
              </w:rPr>
              <w:t>………………………………………………………………..</w:t>
            </w:r>
          </w:p>
          <w:p w14:paraId="0EDEF843" w14:textId="77777777" w:rsidR="008D3378" w:rsidRPr="008D3378" w:rsidRDefault="008D3378" w:rsidP="008D3378">
            <w:pPr>
              <w:pStyle w:val="Zkladntextodsazen2"/>
              <w:spacing w:before="0"/>
              <w:ind w:left="-33"/>
              <w:jc w:val="center"/>
              <w:rPr>
                <w:rFonts w:asciiTheme="minorHAnsi" w:hAnsiTheme="minorHAnsi" w:cs="Calibri"/>
                <w:b/>
                <w:sz w:val="20"/>
              </w:rPr>
            </w:pPr>
            <w:r w:rsidRPr="002D187D">
              <w:rPr>
                <w:rFonts w:asciiTheme="minorHAnsi" w:hAnsiTheme="minorHAnsi" w:cs="Calibri"/>
                <w:b/>
                <w:sz w:val="20"/>
                <w:highlight w:val="green"/>
              </w:rPr>
              <w:t>za Prodávajícího</w:t>
            </w:r>
          </w:p>
        </w:tc>
      </w:tr>
    </w:tbl>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6B6076B3" w:rsidR="000E6DF9" w:rsidRPr="00780DEF" w:rsidRDefault="00464A02" w:rsidP="00A0778B">
      <w:pPr>
        <w:pStyle w:val="Odstavecseseznamem"/>
        <w:numPr>
          <w:ilvl w:val="0"/>
          <w:numId w:val="13"/>
        </w:numPr>
        <w:spacing w:before="0"/>
        <w:ind w:left="714" w:hanging="357"/>
        <w:rPr>
          <w:rFonts w:asciiTheme="minorHAnsi" w:hAnsiTheme="minorHAnsi" w:cs="Calibri"/>
          <w:sz w:val="18"/>
          <w:szCs w:val="18"/>
        </w:rPr>
      </w:pPr>
      <w:r w:rsidRPr="00780DEF">
        <w:rPr>
          <w:rFonts w:asciiTheme="minorHAnsi" w:hAnsiTheme="minorHAnsi" w:cs="Calibri"/>
          <w:sz w:val="18"/>
          <w:szCs w:val="18"/>
        </w:rPr>
        <w:t>Specifikace dodávek</w:t>
      </w:r>
      <w:r w:rsidR="00E646DA" w:rsidRPr="00780DEF">
        <w:rPr>
          <w:rFonts w:asciiTheme="minorHAnsi" w:hAnsiTheme="minorHAnsi" w:cs="Calibri"/>
          <w:sz w:val="18"/>
          <w:szCs w:val="18"/>
        </w:rPr>
        <w:t xml:space="preserve"> (odpovídá příloze č.</w:t>
      </w:r>
      <w:r w:rsidR="00780DEF" w:rsidRPr="00780DEF">
        <w:rPr>
          <w:rFonts w:asciiTheme="minorHAnsi" w:hAnsiTheme="minorHAnsi" w:cs="Calibri"/>
          <w:sz w:val="18"/>
          <w:szCs w:val="18"/>
        </w:rPr>
        <w:t xml:space="preserve"> </w:t>
      </w:r>
      <w:proofErr w:type="gramStart"/>
      <w:r w:rsidR="00780DEF" w:rsidRPr="00780DEF">
        <w:rPr>
          <w:rFonts w:asciiTheme="minorHAnsi" w:hAnsiTheme="minorHAnsi" w:cs="Calibri"/>
          <w:sz w:val="18"/>
          <w:szCs w:val="18"/>
        </w:rPr>
        <w:t>3</w:t>
      </w:r>
      <w:r w:rsidR="00E646DA" w:rsidRPr="00780DEF">
        <w:rPr>
          <w:rFonts w:asciiTheme="minorHAnsi" w:hAnsiTheme="minorHAnsi" w:cs="Calibri"/>
          <w:sz w:val="18"/>
          <w:szCs w:val="18"/>
        </w:rPr>
        <w:t xml:space="preserve">  zadávacích</w:t>
      </w:r>
      <w:proofErr w:type="gramEnd"/>
      <w:r w:rsidR="00E646DA" w:rsidRPr="00780DEF">
        <w:rPr>
          <w:rFonts w:asciiTheme="minorHAnsi" w:hAnsiTheme="minorHAnsi" w:cs="Calibri"/>
          <w:sz w:val="18"/>
          <w:szCs w:val="18"/>
        </w:rPr>
        <w:t xml:space="preserve"> podmínek a bude doplněno před podpisem smlouvy)</w:t>
      </w:r>
    </w:p>
    <w:p w14:paraId="2DA9F862" w14:textId="6EB6A025" w:rsidR="00464A02" w:rsidRPr="00780DEF" w:rsidRDefault="00E646DA" w:rsidP="00A0778B">
      <w:pPr>
        <w:pStyle w:val="Odstavecseseznamem"/>
        <w:numPr>
          <w:ilvl w:val="0"/>
          <w:numId w:val="13"/>
        </w:numPr>
        <w:spacing w:before="0"/>
        <w:ind w:left="714" w:hanging="357"/>
        <w:rPr>
          <w:rFonts w:asciiTheme="minorHAnsi" w:hAnsiTheme="minorHAnsi" w:cs="Calibri"/>
          <w:sz w:val="18"/>
          <w:szCs w:val="18"/>
        </w:rPr>
      </w:pPr>
      <w:r w:rsidRPr="00780DEF">
        <w:rPr>
          <w:rFonts w:asciiTheme="minorHAnsi" w:hAnsiTheme="minorHAnsi" w:cs="Calibri"/>
          <w:sz w:val="18"/>
          <w:szCs w:val="18"/>
        </w:rPr>
        <w:t>Položkový rozpočet (</w:t>
      </w:r>
      <w:r w:rsidR="00AF3DFC" w:rsidRPr="00780DEF">
        <w:rPr>
          <w:rFonts w:asciiTheme="minorHAnsi" w:hAnsiTheme="minorHAnsi" w:cs="Calibri"/>
          <w:sz w:val="18"/>
          <w:szCs w:val="18"/>
        </w:rPr>
        <w:t xml:space="preserve">odpovídá příloze č. </w:t>
      </w:r>
      <w:r w:rsidR="00780DEF" w:rsidRPr="00780DEF">
        <w:rPr>
          <w:rFonts w:asciiTheme="minorHAnsi" w:hAnsiTheme="minorHAnsi" w:cs="Calibri"/>
          <w:sz w:val="18"/>
          <w:szCs w:val="18"/>
        </w:rPr>
        <w:t>3</w:t>
      </w:r>
      <w:r w:rsidRPr="00780DEF">
        <w:rPr>
          <w:rFonts w:asciiTheme="minorHAnsi" w:hAnsiTheme="minorHAnsi" w:cs="Calibri"/>
          <w:sz w:val="18"/>
          <w:szCs w:val="18"/>
        </w:rPr>
        <w:t xml:space="preserve"> zadávacích podmínek a bude doplněno před podpisem smlouvy)</w:t>
      </w:r>
    </w:p>
    <w:p w14:paraId="6CAA82CB" w14:textId="77777777" w:rsidR="00AE05CA" w:rsidRPr="00656C0E" w:rsidRDefault="00AE05CA" w:rsidP="00A0778B">
      <w:pPr>
        <w:pStyle w:val="Odstavecseseznamem"/>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8"/>
      <w:footerReference w:type="default" r:id="rId9"/>
      <w:headerReference w:type="first" r:id="rId10"/>
      <w:footerReference w:type="first" r:id="rId11"/>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F109" w14:textId="77777777" w:rsidR="00BC0565" w:rsidRDefault="00BC0565">
      <w:r>
        <w:separator/>
      </w:r>
    </w:p>
  </w:endnote>
  <w:endnote w:type="continuationSeparator" w:id="0">
    <w:p w14:paraId="6D1C4871" w14:textId="77777777" w:rsidR="00BC0565" w:rsidRDefault="00B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3F55" w14:textId="52CE8BC5"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sidR="00780DEF">
      <w:rPr>
        <w:rStyle w:val="slostrnky"/>
        <w:rFonts w:eastAsia="Arial"/>
      </w:rPr>
      <w:fldChar w:fldCharType="separate"/>
    </w:r>
    <w:r w:rsidR="00780DEF">
      <w:rPr>
        <w:rStyle w:val="slostrnky"/>
        <w:rFonts w:eastAsia="Arial"/>
        <w:noProof/>
      </w:rPr>
      <w:t>2</w: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DA0" w14:textId="77777777"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AF3DFC">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AF3DFC">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8C7" w14:textId="6648FD70" w:rsidR="00577A23" w:rsidRPr="00780DEF" w:rsidRDefault="00780DEF" w:rsidP="00780DEF">
    <w:pPr>
      <w:pStyle w:val="Zpat"/>
    </w:pPr>
    <w:r w:rsidRPr="00780DEF">
      <w:t>Tato veřejná zakázka je financována z Operačního programu Praha – pól růstu ČR (dále jen „OPPPR“) v rámci projektu CZ.07.4.67/0.0/0.0/19_073/0002214 Přírodovědná laboratoř.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D75D" w14:textId="77777777" w:rsidR="00BC0565" w:rsidRDefault="00BC0565">
      <w:r>
        <w:separator/>
      </w:r>
    </w:p>
  </w:footnote>
  <w:footnote w:type="continuationSeparator" w:id="0">
    <w:p w14:paraId="64486842" w14:textId="77777777" w:rsidR="00BC0565" w:rsidRDefault="00BC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16cid:durableId="406418936">
    <w:abstractNumId w:val="19"/>
  </w:num>
  <w:num w:numId="2" w16cid:durableId="1413430573">
    <w:abstractNumId w:val="24"/>
  </w:num>
  <w:num w:numId="3" w16cid:durableId="1506747055">
    <w:abstractNumId w:val="4"/>
  </w:num>
  <w:num w:numId="4" w16cid:durableId="1446003636">
    <w:abstractNumId w:val="20"/>
  </w:num>
  <w:num w:numId="5" w16cid:durableId="1567835501">
    <w:abstractNumId w:val="15"/>
  </w:num>
  <w:num w:numId="6" w16cid:durableId="425855742">
    <w:abstractNumId w:val="10"/>
  </w:num>
  <w:num w:numId="7" w16cid:durableId="2002350858">
    <w:abstractNumId w:val="17"/>
  </w:num>
  <w:num w:numId="8" w16cid:durableId="200751920">
    <w:abstractNumId w:val="0"/>
  </w:num>
  <w:num w:numId="9" w16cid:durableId="356739947">
    <w:abstractNumId w:val="1"/>
  </w:num>
  <w:num w:numId="10" w16cid:durableId="1986086491">
    <w:abstractNumId w:val="2"/>
  </w:num>
  <w:num w:numId="11" w16cid:durableId="1107191637">
    <w:abstractNumId w:val="8"/>
  </w:num>
  <w:num w:numId="12" w16cid:durableId="2081563806">
    <w:abstractNumId w:val="21"/>
  </w:num>
  <w:num w:numId="13" w16cid:durableId="1080910300">
    <w:abstractNumId w:val="12"/>
  </w:num>
  <w:num w:numId="14" w16cid:durableId="463041147">
    <w:abstractNumId w:val="6"/>
  </w:num>
  <w:num w:numId="15" w16cid:durableId="2091462178">
    <w:abstractNumId w:val="7"/>
  </w:num>
  <w:num w:numId="16" w16cid:durableId="1819952049">
    <w:abstractNumId w:val="14"/>
  </w:num>
  <w:num w:numId="17" w16cid:durableId="614599190">
    <w:abstractNumId w:val="11"/>
  </w:num>
  <w:num w:numId="18" w16cid:durableId="784737809">
    <w:abstractNumId w:val="16"/>
  </w:num>
  <w:num w:numId="19" w16cid:durableId="380443609">
    <w:abstractNumId w:val="5"/>
  </w:num>
  <w:num w:numId="20" w16cid:durableId="1790973873">
    <w:abstractNumId w:val="13"/>
  </w:num>
  <w:num w:numId="21" w16cid:durableId="1574244565">
    <w:abstractNumId w:val="22"/>
  </w:num>
  <w:num w:numId="22" w16cid:durableId="2138990308">
    <w:abstractNumId w:val="9"/>
  </w:num>
  <w:num w:numId="23" w16cid:durableId="488598585">
    <w:abstractNumId w:val="23"/>
  </w:num>
  <w:num w:numId="24" w16cid:durableId="839197282">
    <w:abstractNumId w:val="18"/>
  </w:num>
  <w:num w:numId="25" w16cid:durableId="250505518">
    <w:abstractNumId w:val="3"/>
  </w:num>
  <w:num w:numId="26" w16cid:durableId="1770395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3703"/>
    <w:rsid w:val="000C6F95"/>
    <w:rsid w:val="000D102E"/>
    <w:rsid w:val="000E3549"/>
    <w:rsid w:val="000E3967"/>
    <w:rsid w:val="000E49D3"/>
    <w:rsid w:val="000E5261"/>
    <w:rsid w:val="000E6DF9"/>
    <w:rsid w:val="000E6FCB"/>
    <w:rsid w:val="000F6562"/>
    <w:rsid w:val="00100EF2"/>
    <w:rsid w:val="00102150"/>
    <w:rsid w:val="00113DEB"/>
    <w:rsid w:val="00131A37"/>
    <w:rsid w:val="00134F33"/>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20174"/>
    <w:rsid w:val="00221E0E"/>
    <w:rsid w:val="00224CC3"/>
    <w:rsid w:val="00230BFF"/>
    <w:rsid w:val="00231C32"/>
    <w:rsid w:val="0023793D"/>
    <w:rsid w:val="002432AD"/>
    <w:rsid w:val="002461FB"/>
    <w:rsid w:val="00250B38"/>
    <w:rsid w:val="00251275"/>
    <w:rsid w:val="00251D68"/>
    <w:rsid w:val="0025221C"/>
    <w:rsid w:val="0025355A"/>
    <w:rsid w:val="00257C9F"/>
    <w:rsid w:val="002620B2"/>
    <w:rsid w:val="00285BD6"/>
    <w:rsid w:val="00290081"/>
    <w:rsid w:val="00290BFF"/>
    <w:rsid w:val="00291782"/>
    <w:rsid w:val="00291FF2"/>
    <w:rsid w:val="002A1D62"/>
    <w:rsid w:val="002A291C"/>
    <w:rsid w:val="002B23DD"/>
    <w:rsid w:val="002B6140"/>
    <w:rsid w:val="002C197E"/>
    <w:rsid w:val="002C280D"/>
    <w:rsid w:val="002C7AE3"/>
    <w:rsid w:val="002D187D"/>
    <w:rsid w:val="002D3727"/>
    <w:rsid w:val="002E5CC9"/>
    <w:rsid w:val="002F1DBD"/>
    <w:rsid w:val="002F22FD"/>
    <w:rsid w:val="003001B6"/>
    <w:rsid w:val="003049B1"/>
    <w:rsid w:val="00311565"/>
    <w:rsid w:val="00332780"/>
    <w:rsid w:val="00340F32"/>
    <w:rsid w:val="003448DC"/>
    <w:rsid w:val="0035043A"/>
    <w:rsid w:val="00353229"/>
    <w:rsid w:val="00371BCF"/>
    <w:rsid w:val="00381924"/>
    <w:rsid w:val="0038327C"/>
    <w:rsid w:val="00384618"/>
    <w:rsid w:val="003A2447"/>
    <w:rsid w:val="003A3E13"/>
    <w:rsid w:val="003B2212"/>
    <w:rsid w:val="003B5F36"/>
    <w:rsid w:val="003B714C"/>
    <w:rsid w:val="003B7BBF"/>
    <w:rsid w:val="003D73AF"/>
    <w:rsid w:val="003D7449"/>
    <w:rsid w:val="003E361C"/>
    <w:rsid w:val="003E71A5"/>
    <w:rsid w:val="003E734F"/>
    <w:rsid w:val="003F2551"/>
    <w:rsid w:val="003F7199"/>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0DEF"/>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1B0B"/>
    <w:rsid w:val="007F3C5E"/>
    <w:rsid w:val="0080379C"/>
    <w:rsid w:val="00813A6C"/>
    <w:rsid w:val="00820A8D"/>
    <w:rsid w:val="00820DEA"/>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57A6"/>
    <w:rsid w:val="008F6043"/>
    <w:rsid w:val="00902E02"/>
    <w:rsid w:val="00916094"/>
    <w:rsid w:val="0094007C"/>
    <w:rsid w:val="0094723F"/>
    <w:rsid w:val="00952A64"/>
    <w:rsid w:val="009625D3"/>
    <w:rsid w:val="009833B0"/>
    <w:rsid w:val="009A07DD"/>
    <w:rsid w:val="009A7ADD"/>
    <w:rsid w:val="009B07A7"/>
    <w:rsid w:val="009B4F3B"/>
    <w:rsid w:val="009B7F50"/>
    <w:rsid w:val="009C09D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53D0"/>
    <w:rsid w:val="00AC5E74"/>
    <w:rsid w:val="00AD0423"/>
    <w:rsid w:val="00AE05CA"/>
    <w:rsid w:val="00AE08EE"/>
    <w:rsid w:val="00AE0AC9"/>
    <w:rsid w:val="00AF11FF"/>
    <w:rsid w:val="00AF3DFC"/>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C0565"/>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4174C"/>
    <w:rsid w:val="00D46ADF"/>
    <w:rsid w:val="00D51BDF"/>
    <w:rsid w:val="00D63493"/>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06E26"/>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14B2"/>
    <w:rsid w:val="00EF4C69"/>
    <w:rsid w:val="00F13C0C"/>
    <w:rsid w:val="00F13F49"/>
    <w:rsid w:val="00F1575C"/>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D26E8"/>
  <w15:docId w15:val="{C0FAC110-DE9F-D345-A87C-285AD0B6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5218">
      <w:bodyDiv w:val="1"/>
      <w:marLeft w:val="0"/>
      <w:marRight w:val="0"/>
      <w:marTop w:val="0"/>
      <w:marBottom w:val="0"/>
      <w:divBdr>
        <w:top w:val="none" w:sz="0" w:space="0" w:color="auto"/>
        <w:left w:val="none" w:sz="0" w:space="0" w:color="auto"/>
        <w:bottom w:val="none" w:sz="0" w:space="0" w:color="auto"/>
        <w:right w:val="none" w:sz="0" w:space="0" w:color="auto"/>
      </w:divBdr>
    </w:div>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1703247570">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95F4-224E-4F8B-8BD1-A472EC49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3174</Words>
  <Characters>18730</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PREZENTACE</dc:creator>
  <cp:lastModifiedBy>Kateřina Koláčková</cp:lastModifiedBy>
  <cp:revision>2</cp:revision>
  <cp:lastPrinted>2016-12-30T12:26:00Z</cp:lastPrinted>
  <dcterms:created xsi:type="dcterms:W3CDTF">2022-06-13T17:31:00Z</dcterms:created>
  <dcterms:modified xsi:type="dcterms:W3CDTF">2022-06-13T17:31:00Z</dcterms:modified>
</cp:coreProperties>
</file>